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C4BA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43783247" w14:textId="77777777" w:rsidTr="00F14C5A">
        <w:tc>
          <w:tcPr>
            <w:tcW w:w="1368" w:type="dxa"/>
          </w:tcPr>
          <w:p w14:paraId="0CCB1F8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6785B04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0EC9322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7967E4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F62A6A6" w14:textId="77777777" w:rsidTr="00F14C5A">
        <w:tc>
          <w:tcPr>
            <w:tcW w:w="1368" w:type="dxa"/>
          </w:tcPr>
          <w:p w14:paraId="752DB39E" w14:textId="77777777" w:rsidR="00426830" w:rsidRDefault="00426830" w:rsidP="00F14C5A"/>
        </w:tc>
        <w:tc>
          <w:tcPr>
            <w:tcW w:w="2880" w:type="dxa"/>
          </w:tcPr>
          <w:p w14:paraId="7550AED4" w14:textId="77777777" w:rsidR="00426830" w:rsidRDefault="00426830" w:rsidP="00F14C5A"/>
        </w:tc>
        <w:tc>
          <w:tcPr>
            <w:tcW w:w="2340" w:type="dxa"/>
          </w:tcPr>
          <w:p w14:paraId="334FF3BA" w14:textId="77777777" w:rsidR="00426830" w:rsidRDefault="00426830" w:rsidP="00F14C5A"/>
        </w:tc>
        <w:tc>
          <w:tcPr>
            <w:tcW w:w="2622" w:type="dxa"/>
          </w:tcPr>
          <w:p w14:paraId="1D45F207" w14:textId="77777777" w:rsidR="00426830" w:rsidRDefault="00426830" w:rsidP="00F14C5A"/>
        </w:tc>
      </w:tr>
      <w:tr w:rsidR="00426830" w14:paraId="7AFB44D7" w14:textId="77777777" w:rsidTr="00F14C5A">
        <w:tc>
          <w:tcPr>
            <w:tcW w:w="1368" w:type="dxa"/>
          </w:tcPr>
          <w:p w14:paraId="269FF94F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622C1EB8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51A35C93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323442E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148CEBCA" w14:textId="77777777" w:rsidR="00426830" w:rsidRDefault="00426830" w:rsidP="00F14C5A"/>
    <w:p w14:paraId="60B845A1" w14:textId="53692567" w:rsidR="00722ED9" w:rsidRDefault="00722ED9" w:rsidP="00722ED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2ED9">
        <w:rPr>
          <w:rFonts w:eastAsia="Times New Roman" w:cs="Arial"/>
          <w:color w:val="000000"/>
          <w:lang w:eastAsia="de-DE"/>
        </w:rPr>
        <w:t>ECO TS-62 EFR III</w:t>
      </w:r>
      <w:r w:rsidRPr="00722ED9">
        <w:rPr>
          <w:rFonts w:eastAsia="Times New Roman" w:cs="Arial"/>
          <w:color w:val="000000"/>
          <w:lang w:eastAsia="de-DE"/>
        </w:rPr>
        <w:br/>
        <w:t xml:space="preserve">Gleitschienenschließer mit Feststellanlage für 1-flg. Türen </w:t>
      </w:r>
      <w:r w:rsidRPr="00722ED9">
        <w:rPr>
          <w:rFonts w:eastAsia="Times New Roman" w:cs="Arial"/>
          <w:color w:val="000000"/>
          <w:lang w:eastAsia="de-DE"/>
        </w:rPr>
        <w:br/>
        <w:t xml:space="preserve">EN 2-5 maximale Türbreite 1250 mm </w:t>
      </w:r>
      <w:r w:rsidRPr="00722ED9">
        <w:rPr>
          <w:rFonts w:eastAsia="Times New Roman" w:cs="Arial"/>
          <w:color w:val="000000"/>
          <w:lang w:eastAsia="de-DE"/>
        </w:rPr>
        <w:br/>
      </w:r>
      <w:proofErr w:type="gramStart"/>
      <w:r w:rsidRPr="00722ED9">
        <w:rPr>
          <w:rFonts w:eastAsia="Times New Roman" w:cs="Arial"/>
          <w:color w:val="000000"/>
          <w:lang w:eastAsia="de-DE"/>
        </w:rPr>
        <w:t>Zugelassen</w:t>
      </w:r>
      <w:proofErr w:type="gramEnd"/>
      <w:r w:rsidRPr="00722ED9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722ED9">
        <w:rPr>
          <w:rFonts w:eastAsia="Times New Roman" w:cs="Arial"/>
          <w:color w:val="000000"/>
          <w:lang w:eastAsia="de-DE"/>
        </w:rPr>
        <w:br/>
        <w:t xml:space="preserve">gemäß DIN EN 1154 A / EN 1155, </w:t>
      </w:r>
      <w:r w:rsidRPr="00722ED9">
        <w:rPr>
          <w:rFonts w:eastAsia="Times New Roman" w:cs="Arial"/>
          <w:color w:val="000000"/>
          <w:lang w:eastAsia="de-DE"/>
        </w:rPr>
        <w:br/>
        <w:t xml:space="preserve">Bauartgenehmigung DIBt Z-6.500-2411 </w:t>
      </w:r>
      <w:r w:rsidRPr="00722ED9">
        <w:rPr>
          <w:rFonts w:eastAsia="Times New Roman" w:cs="Arial"/>
          <w:color w:val="000000"/>
          <w:lang w:eastAsia="de-DE"/>
        </w:rPr>
        <w:br/>
        <w:t xml:space="preserve">Herznockengeometrie garantiert sicheres Schließen und optimalsten Komfort mit stark abfallendem Öffnungsmoment. </w:t>
      </w:r>
      <w:r w:rsidRPr="00722ED9">
        <w:rPr>
          <w:rFonts w:eastAsia="Times New Roman" w:cs="Arial"/>
          <w:color w:val="000000"/>
          <w:lang w:eastAsia="de-DE"/>
        </w:rPr>
        <w:br/>
        <w:t xml:space="preserve"> </w:t>
      </w:r>
      <w:r w:rsidRPr="00722ED9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und DIN </w:t>
      </w:r>
      <w:proofErr w:type="spellStart"/>
      <w:r w:rsidRPr="00722ED9">
        <w:rPr>
          <w:rFonts w:eastAsia="Times New Roman" w:cs="Arial"/>
          <w:color w:val="000000"/>
          <w:lang w:eastAsia="de-DE"/>
        </w:rPr>
        <w:t>Spec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 1104 </w:t>
      </w:r>
      <w:r w:rsidRPr="00722ED9">
        <w:rPr>
          <w:rFonts w:eastAsia="Times New Roman" w:cs="Arial"/>
          <w:color w:val="000000"/>
          <w:lang w:eastAsia="de-DE"/>
        </w:rPr>
        <w:br/>
        <w:t>Maximales Öffnungsmoment (bei EN 3</w:t>
      </w:r>
      <w:proofErr w:type="gramStart"/>
      <w:r w:rsidRPr="00722ED9">
        <w:rPr>
          <w:rFonts w:eastAsia="Times New Roman" w:cs="Arial"/>
          <w:color w:val="000000"/>
          <w:lang w:eastAsia="de-DE"/>
        </w:rPr>
        <w:t>)  &lt;</w:t>
      </w:r>
      <w:proofErr w:type="gramEnd"/>
      <w:r w:rsidRPr="00722ED9">
        <w:rPr>
          <w:rFonts w:eastAsia="Times New Roman" w:cs="Arial"/>
          <w:color w:val="000000"/>
          <w:lang w:eastAsia="de-DE"/>
        </w:rPr>
        <w:t xml:space="preserve"> 28 </w:t>
      </w:r>
      <w:proofErr w:type="spellStart"/>
      <w:r w:rsidRPr="00722ED9">
        <w:rPr>
          <w:rFonts w:eastAsia="Times New Roman" w:cs="Arial"/>
          <w:color w:val="000000"/>
          <w:lang w:eastAsia="de-DE"/>
        </w:rPr>
        <w:t>Nm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 </w:t>
      </w:r>
      <w:r w:rsidRPr="00722ED9">
        <w:rPr>
          <w:rFonts w:eastAsia="Times New Roman" w:cs="Arial"/>
          <w:color w:val="000000"/>
          <w:lang w:eastAsia="de-DE"/>
        </w:rPr>
        <w:br/>
        <w:t xml:space="preserve">Abfallendes Öffnungsmoment auf unter 50% bereits nach 30° Öffnungswinkel garantiert einen erhöhten Bedienkomfort. </w:t>
      </w:r>
      <w:r w:rsidRPr="00722ED9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722ED9">
        <w:rPr>
          <w:rFonts w:eastAsia="Times New Roman" w:cs="Arial"/>
          <w:color w:val="000000"/>
          <w:lang w:eastAsia="de-DE"/>
        </w:rPr>
        <w:t>ECOclic</w:t>
      </w:r>
      <w:proofErr w:type="spellEnd"/>
      <w:r w:rsidRPr="00722ED9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722ED9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722ED9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</w:t>
      </w:r>
      <w:proofErr w:type="spellStart"/>
      <w:r w:rsidRPr="00722ED9">
        <w:rPr>
          <w:rFonts w:eastAsia="Times New Roman" w:cs="Arial"/>
          <w:color w:val="000000"/>
          <w:lang w:eastAsia="de-DE"/>
        </w:rPr>
        <w:t>ECOvalve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 Messingventile. </w:t>
      </w:r>
      <w:r w:rsidRPr="00722ED9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722ED9">
        <w:rPr>
          <w:rFonts w:eastAsia="Times New Roman" w:cs="Arial"/>
          <w:color w:val="000000"/>
          <w:lang w:eastAsia="de-DE"/>
        </w:rPr>
        <w:br/>
        <w:t xml:space="preserve">Gleitschiene EFR III mit elektromechanischer Feststellung und integrierter Rauchschaltzentrale (230 V), </w:t>
      </w:r>
      <w:r w:rsidRPr="00722ED9">
        <w:rPr>
          <w:rFonts w:eastAsia="Times New Roman" w:cs="Arial"/>
          <w:color w:val="000000"/>
          <w:lang w:eastAsia="de-DE"/>
        </w:rPr>
        <w:br/>
        <w:t>geringe Aufbauhöhe von 34 mm, durchgehende Abdeckhaube.</w:t>
      </w:r>
      <w:r w:rsidRPr="00722ED9">
        <w:rPr>
          <w:rFonts w:eastAsia="Times New Roman" w:cs="Arial"/>
          <w:color w:val="000000"/>
          <w:lang w:eastAsia="de-DE"/>
        </w:rPr>
        <w:br/>
        <w:t xml:space="preserve"> </w:t>
      </w:r>
      <w:r w:rsidRPr="00722ED9">
        <w:rPr>
          <w:rFonts w:eastAsia="Times New Roman" w:cs="Arial"/>
          <w:color w:val="000000"/>
          <w:lang w:eastAsia="de-DE"/>
        </w:rPr>
        <w:br/>
        <w:t>( ) Normal-Montage Bandseite ECO TS-62 EFR III</w:t>
      </w:r>
      <w:r w:rsidRPr="00722ED9">
        <w:rPr>
          <w:rFonts w:eastAsia="Times New Roman" w:cs="Arial"/>
          <w:color w:val="000000"/>
          <w:lang w:eastAsia="de-DE"/>
        </w:rPr>
        <w:br/>
        <w:t xml:space="preserve">( ) Normal-Montage Bandgegenseite ECO TS 62-EFR BG III </w:t>
      </w:r>
      <w:r w:rsidRPr="00722ED9">
        <w:rPr>
          <w:rFonts w:eastAsia="Times New Roman" w:cs="Arial"/>
          <w:color w:val="000000"/>
          <w:lang w:eastAsia="de-DE"/>
        </w:rPr>
        <w:br/>
        <w:t>Elektromagnetische Feststellung überfahrbar</w:t>
      </w:r>
      <w:r w:rsidRPr="00722ED9">
        <w:rPr>
          <w:rFonts w:eastAsia="Times New Roman" w:cs="Arial"/>
          <w:color w:val="000000"/>
          <w:lang w:eastAsia="de-DE"/>
        </w:rPr>
        <w:br/>
        <w:t xml:space="preserve">Haltekraft einstellbar (Empfehlung </w:t>
      </w:r>
      <w:proofErr w:type="spellStart"/>
      <w:r w:rsidRPr="00722ED9">
        <w:rPr>
          <w:rFonts w:eastAsia="Times New Roman" w:cs="Arial"/>
          <w:color w:val="000000"/>
          <w:lang w:eastAsia="de-DE"/>
        </w:rPr>
        <w:t>DiBt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, DIN 18040 sowie DIN EN 12217 max. 80N) </w:t>
      </w:r>
      <w:r w:rsidRPr="00722ED9">
        <w:rPr>
          <w:rFonts w:eastAsia="Times New Roman" w:cs="Arial"/>
          <w:color w:val="000000"/>
          <w:lang w:eastAsia="de-DE"/>
        </w:rPr>
        <w:br/>
        <w:t>Feststellpunkt:</w:t>
      </w:r>
      <w:r w:rsidRPr="00722ED9">
        <w:rPr>
          <w:rFonts w:eastAsia="Times New Roman" w:cs="Arial"/>
          <w:color w:val="000000"/>
          <w:lang w:eastAsia="de-DE"/>
        </w:rPr>
        <w:br/>
        <w:t>Bandseite: 80 bis 130 Grad</w:t>
      </w:r>
      <w:r w:rsidRPr="00722ED9">
        <w:rPr>
          <w:rFonts w:eastAsia="Times New Roman" w:cs="Arial"/>
          <w:color w:val="000000"/>
          <w:lang w:eastAsia="de-DE"/>
        </w:rPr>
        <w:br/>
        <w:t xml:space="preserve">Bandgegenseite: 80 -110 Grad </w:t>
      </w:r>
      <w:r w:rsidRPr="00722ED9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722ED9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722ED9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722ED9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722ED9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</w:t>
      </w:r>
      <w:proofErr w:type="spellStart"/>
      <w:r w:rsidRPr="00722ED9">
        <w:rPr>
          <w:rFonts w:eastAsia="Times New Roman" w:cs="Arial"/>
          <w:color w:val="000000"/>
          <w:lang w:eastAsia="de-DE"/>
        </w:rPr>
        <w:t>manipulationsssichere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 Verdrahtung. </w:t>
      </w:r>
      <w:r w:rsidRPr="00722ED9">
        <w:rPr>
          <w:rFonts w:eastAsia="Times New Roman" w:cs="Arial"/>
          <w:color w:val="000000"/>
          <w:lang w:eastAsia="de-DE"/>
        </w:rPr>
        <w:br/>
        <w:t>Anschluss 230 V AC, 50 Hz</w:t>
      </w:r>
      <w:r w:rsidRPr="00722ED9">
        <w:rPr>
          <w:rFonts w:eastAsia="Times New Roman" w:cs="Arial"/>
          <w:color w:val="000000"/>
          <w:lang w:eastAsia="de-DE"/>
        </w:rPr>
        <w:br/>
        <w:t>Abmessungen Türschließer: (</w:t>
      </w:r>
      <w:proofErr w:type="spellStart"/>
      <w:r w:rsidRPr="00722ED9">
        <w:rPr>
          <w:rFonts w:eastAsia="Times New Roman" w:cs="Arial"/>
          <w:color w:val="000000"/>
          <w:lang w:eastAsia="de-DE"/>
        </w:rPr>
        <w:t>BxHxT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) 267x62x49 mm </w:t>
      </w:r>
      <w:r w:rsidRPr="00722ED9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722ED9">
        <w:rPr>
          <w:rFonts w:eastAsia="Times New Roman" w:cs="Arial"/>
          <w:color w:val="000000"/>
          <w:lang w:eastAsia="de-DE"/>
        </w:rPr>
        <w:t>BxHxT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) 744x34x67mm </w:t>
      </w:r>
      <w:r w:rsidRPr="00722ED9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722ED9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722ED9">
        <w:rPr>
          <w:rFonts w:eastAsia="Times New Roman" w:cs="Arial"/>
          <w:color w:val="000000"/>
          <w:lang w:eastAsia="de-DE"/>
        </w:rPr>
        <w:br/>
      </w:r>
    </w:p>
    <w:p w14:paraId="706E52BE" w14:textId="77777777" w:rsidR="001D30B3" w:rsidRDefault="00722ED9" w:rsidP="00722ED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2ED9">
        <w:rPr>
          <w:rFonts w:eastAsia="Times New Roman" w:cs="Arial"/>
          <w:color w:val="000000"/>
          <w:lang w:eastAsia="de-DE"/>
        </w:rPr>
        <w:lastRenderedPageBreak/>
        <w:t>Oberfläche:</w:t>
      </w:r>
      <w:r w:rsidRPr="00722ED9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722ED9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722ED9">
        <w:rPr>
          <w:rFonts w:eastAsia="Times New Roman" w:cs="Arial"/>
          <w:color w:val="000000"/>
          <w:lang w:eastAsia="de-DE"/>
        </w:rPr>
        <w:t>ECOclic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 Edelstahl gebürstet</w:t>
      </w:r>
      <w:r w:rsidRPr="00722ED9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722ED9">
        <w:rPr>
          <w:rFonts w:eastAsia="Times New Roman" w:cs="Arial"/>
          <w:color w:val="000000"/>
          <w:lang w:eastAsia="de-DE"/>
        </w:rPr>
        <w:t>ECOclic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 in RAL 9006</w:t>
      </w:r>
      <w:r w:rsidRPr="00722ED9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722ED9">
        <w:rPr>
          <w:rFonts w:eastAsia="Times New Roman" w:cs="Arial"/>
          <w:color w:val="000000"/>
          <w:lang w:eastAsia="de-DE"/>
        </w:rPr>
        <w:t>ECOclic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 in RAL 9016</w:t>
      </w:r>
      <w:r w:rsidRPr="00722ED9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722ED9">
        <w:rPr>
          <w:rFonts w:eastAsia="Times New Roman" w:cs="Arial"/>
          <w:color w:val="000000"/>
          <w:lang w:eastAsia="de-DE"/>
        </w:rPr>
        <w:t>ECOclic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 in RAL 9005</w:t>
      </w:r>
      <w:r w:rsidRPr="00722ED9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722ED9">
        <w:rPr>
          <w:rFonts w:eastAsia="Times New Roman" w:cs="Arial"/>
          <w:color w:val="000000"/>
          <w:lang w:eastAsia="de-DE"/>
        </w:rPr>
        <w:t>ECOclic</w:t>
      </w:r>
      <w:proofErr w:type="spellEnd"/>
      <w:r w:rsidRPr="00722ED9">
        <w:rPr>
          <w:rFonts w:eastAsia="Times New Roman" w:cs="Arial"/>
          <w:color w:val="000000"/>
          <w:lang w:eastAsia="de-DE"/>
        </w:rPr>
        <w:t xml:space="preserve"> in Edelstahl, PVD beschichtet</w:t>
      </w:r>
      <w:r w:rsidRPr="00722ED9">
        <w:rPr>
          <w:rFonts w:eastAsia="Times New Roman" w:cs="Arial"/>
          <w:color w:val="000000"/>
          <w:lang w:eastAsia="de-DE"/>
        </w:rPr>
        <w:br/>
      </w:r>
    </w:p>
    <w:p w14:paraId="4E1891B8" w14:textId="25380040" w:rsidR="00722ED9" w:rsidRPr="00722ED9" w:rsidRDefault="00722ED9" w:rsidP="00722ED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2ED9">
        <w:rPr>
          <w:rFonts w:eastAsia="Times New Roman" w:cs="Arial"/>
          <w:color w:val="000000"/>
          <w:lang w:eastAsia="de-DE"/>
        </w:rPr>
        <w:t>Zubehör:</w:t>
      </w:r>
      <w:r w:rsidRPr="00722ED9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722ED9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722ED9">
        <w:rPr>
          <w:rFonts w:eastAsia="Times New Roman" w:cs="Arial"/>
          <w:color w:val="000000"/>
          <w:lang w:eastAsia="de-DE"/>
        </w:rPr>
        <w:br/>
      </w:r>
      <w:proofErr w:type="gramStart"/>
      <w:r w:rsidRPr="00722ED9">
        <w:rPr>
          <w:rFonts w:eastAsia="Times New Roman" w:cs="Arial"/>
          <w:color w:val="000000"/>
          <w:lang w:eastAsia="de-DE"/>
        </w:rPr>
        <w:t>( )</w:t>
      </w:r>
      <w:proofErr w:type="gramEnd"/>
      <w:r w:rsidRPr="00722ED9">
        <w:rPr>
          <w:rFonts w:eastAsia="Times New Roman" w:cs="Arial"/>
          <w:color w:val="000000"/>
          <w:lang w:eastAsia="de-DE"/>
        </w:rPr>
        <w:t xml:space="preserve"> Handauslösetaster HAT 02</w:t>
      </w:r>
    </w:p>
    <w:p w14:paraId="7D3E5C5A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D273" w14:textId="77777777" w:rsidR="00670A48" w:rsidRDefault="00670A48" w:rsidP="007F1863">
      <w:pPr>
        <w:spacing w:after="0" w:line="240" w:lineRule="auto"/>
      </w:pPr>
      <w:r>
        <w:separator/>
      </w:r>
    </w:p>
  </w:endnote>
  <w:endnote w:type="continuationSeparator" w:id="0">
    <w:p w14:paraId="0ED98E2E" w14:textId="77777777" w:rsidR="00670A48" w:rsidRDefault="00670A4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BEC042A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0868AC82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0AC8" w14:textId="77777777" w:rsidR="00670A48" w:rsidRDefault="00670A48" w:rsidP="007F1863">
      <w:pPr>
        <w:spacing w:after="0" w:line="240" w:lineRule="auto"/>
      </w:pPr>
      <w:r>
        <w:separator/>
      </w:r>
    </w:p>
  </w:footnote>
  <w:footnote w:type="continuationSeparator" w:id="0">
    <w:p w14:paraId="7A0EC2B8" w14:textId="77777777" w:rsidR="00670A48" w:rsidRDefault="00670A4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824B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BB6BE" wp14:editId="664E7A27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E1A6E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8CC797B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675D38CD" w14:textId="66B5C15F" w:rsidR="00692B75" w:rsidRDefault="00722ED9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22ED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62 EFR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BB6B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1E1A6E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8CC797B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675D38CD" w14:textId="66B5C15F" w:rsidR="00692B75" w:rsidRDefault="00722ED9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22ED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62 EFR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BB10FEB" wp14:editId="02BC9DD7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FFF123" wp14:editId="2DD28FC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8E3245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FF123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98E3245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8E2973" w14:textId="77777777" w:rsidR="00E30BEA" w:rsidRDefault="00E30BEA">
    <w:pPr>
      <w:pStyle w:val="Kopfzeile"/>
    </w:pPr>
  </w:p>
  <w:p w14:paraId="0ED8FD73" w14:textId="77777777" w:rsidR="00E30BEA" w:rsidRDefault="00E30BEA">
    <w:pPr>
      <w:pStyle w:val="Kopfzeile"/>
    </w:pPr>
  </w:p>
  <w:p w14:paraId="357FD435" w14:textId="77777777" w:rsidR="00E30BEA" w:rsidRDefault="00E30BEA">
    <w:pPr>
      <w:pStyle w:val="Kopfzeile"/>
    </w:pPr>
  </w:p>
  <w:p w14:paraId="03FCCE46" w14:textId="77777777" w:rsidR="00E30BEA" w:rsidRDefault="00E30BEA">
    <w:pPr>
      <w:pStyle w:val="Kopfzeile"/>
    </w:pPr>
  </w:p>
  <w:p w14:paraId="1481FED1" w14:textId="77777777" w:rsidR="00E30BEA" w:rsidRDefault="00E30BEA">
    <w:pPr>
      <w:pStyle w:val="Kopfzeile"/>
    </w:pPr>
  </w:p>
  <w:p w14:paraId="5A1951EB" w14:textId="77777777" w:rsidR="00E30BEA" w:rsidRDefault="00E30BEA">
    <w:pPr>
      <w:pStyle w:val="Kopfzeile"/>
    </w:pPr>
  </w:p>
  <w:p w14:paraId="186894D7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9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36929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30B3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0A48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2ED9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C2D15"/>
  <w15:docId w15:val="{71C7CD2E-3FCA-4E41-8E15-EB9F5C9E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2022-12-12T13:18:00Z</dcterms:created>
  <dcterms:modified xsi:type="dcterms:W3CDTF">2022-12-14T13:35:00Z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